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0"/>
        <w:gridCol w:w="1873"/>
        <w:gridCol w:w="811"/>
        <w:gridCol w:w="758"/>
        <w:gridCol w:w="1231"/>
        <w:gridCol w:w="3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5"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所属类别</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申报人姓名</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指导教师姓名</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申报人院系</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科技发明制作A类</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姚璐</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肖云峰</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超低相噪的光学孤子微波源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科技发明制作B类</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解文月</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黄建永</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高通量活细胞筛选系统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科技发明制作B类</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董芮岚</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陈跃国</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第三临床医学院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基于大数据的中国人群早期圆锥角膜人工智能诊断模型的研究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周源</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刘颜俊</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政府管理学院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《政治消费主义在中国：一项调查实验研究》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戚政烨</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林小英</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位所育为：二分模式下重听学生教育安置的现状分析与路径反思——基于南昌市启音学校的个案研究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陈诗源</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虞吉海</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光华管理学院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产业间关联对碳排放约束下碳排放量及国民经济增长的影响探究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丁雨辰</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王迪</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社会学系</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从木石砖瓦到钢铁水泥：项目制背景下建筑行业多主体互动的双逻辑路径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胡歧山</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赵波</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国家发展研究院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被门槛绊住的人口流动-地方政府户籍政策制定的行为逻辑分析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哲学社会科学类社会调查报告</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赵海琰</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俞祺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行政协议中行政优益权的司法审查及其优化方案：基于对89件司法裁判的分析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程谋阳</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陈基</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无序度调控的非晶单层碳电导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杜凯玥</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祁荣</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一种包载非诺贝特的活性氧响应纳米粒对非酒精性脂肪肝病的抑制作用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王佳俊</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沈冰</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地球与空间科学学院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碳同位素指示极端冰期状态下初级生产力的持续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陈齐治</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杨仝</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信息科学技术学院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StingySketch,一种高速高精度频数估计算法框架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马啸天</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戴瀚程</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碳中和目标下的中国碳排放因素分解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自然科学类学术论文</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韦世龙</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徐正仁</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药学院</w:t>
            </w:r>
          </w:p>
        </w:tc>
        <w:tc>
          <w:tcPr>
            <w:tcW w:w="1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基于二聚色氨酸多样骨架的组合生物合成研究</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FBF07"/>
    <w:rsid w:val="77DFB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2023-03-23T19:30:00Z</dcterms:created>
  <dc:creator>鹏程万里 寰宇</dc:creator>
  <cp:lastModifiedBy>鹏程万里 寰宇</cp:lastModifiedBy>
  <dcterms:modified xsi:type="dcterms:W3CDTF">2023-03-23T19:31:03Z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DE71CE80341C4B2D6A381C64F038BFED_41</vt:lpwstr>
  </property>
</Properties>
</file>